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010B2" w14:textId="77777777" w:rsidR="0014085C" w:rsidRPr="00A1207A" w:rsidRDefault="0014085C" w:rsidP="0014085C">
      <w:pPr>
        <w:pStyle w:val="Heading2"/>
        <w:rPr>
          <w:rFonts w:asciiTheme="minorHAnsi" w:hAnsiTheme="minorHAnsi"/>
          <w:color w:val="auto"/>
          <w:sz w:val="22"/>
          <w:szCs w:val="22"/>
        </w:rPr>
      </w:pPr>
      <w:bookmarkStart w:id="0" w:name="_Toc443386240"/>
      <w:bookmarkStart w:id="1" w:name="_GoBack"/>
      <w:bookmarkEnd w:id="1"/>
      <w:r w:rsidRPr="00A1207A">
        <w:rPr>
          <w:rFonts w:asciiTheme="minorHAnsi" w:hAnsiTheme="minorHAnsi"/>
          <w:color w:val="auto"/>
          <w:sz w:val="22"/>
          <w:szCs w:val="22"/>
          <w:u w:val="single"/>
        </w:rPr>
        <w:t>Critical Element</w:t>
      </w:r>
      <w:r w:rsidRPr="00A1207A">
        <w:rPr>
          <w:rFonts w:asciiTheme="minorHAnsi" w:hAnsiTheme="minorHAnsi"/>
          <w:color w:val="auto"/>
          <w:sz w:val="22"/>
          <w:szCs w:val="22"/>
        </w:rPr>
        <w:t>: Leadership, Teamwork, and Communication</w:t>
      </w:r>
      <w:bookmarkEnd w:id="0"/>
    </w:p>
    <w:p w14:paraId="695D3E13" w14:textId="77777777" w:rsidR="0014085C" w:rsidRPr="00A1207A" w:rsidRDefault="0014085C" w:rsidP="0014085C">
      <w:pPr>
        <w:pStyle w:val="ListParagraph"/>
        <w:numPr>
          <w:ilvl w:val="0"/>
          <w:numId w:val="11"/>
        </w:numPr>
        <w:spacing w:after="0" w:line="240" w:lineRule="auto"/>
        <w:rPr>
          <w:rFonts w:eastAsia="Times New Roman" w:cs="Arial"/>
        </w:rPr>
      </w:pPr>
      <w:r w:rsidRPr="00A1207A">
        <w:rPr>
          <w:rFonts w:eastAsia="Times New Roman" w:cs="Arial"/>
        </w:rPr>
        <w:t>Avoids delays and duplication of effort by consistently coordinating and consulting with appropriate office members, other IC and NIH staff</w:t>
      </w:r>
    </w:p>
    <w:p w14:paraId="39234EB2" w14:textId="77777777" w:rsidR="0014085C" w:rsidRPr="00A1207A" w:rsidRDefault="0014085C" w:rsidP="0014085C">
      <w:pPr>
        <w:pStyle w:val="ListParagraph"/>
        <w:numPr>
          <w:ilvl w:val="0"/>
          <w:numId w:val="11"/>
        </w:numPr>
        <w:spacing w:after="0" w:line="240" w:lineRule="auto"/>
        <w:rPr>
          <w:rFonts w:eastAsia="Times New Roman" w:cs="Arial"/>
        </w:rPr>
      </w:pPr>
      <w:r w:rsidRPr="00A1207A">
        <w:rPr>
          <w:rFonts w:eastAsia="Times New Roman" w:cs="Arial"/>
        </w:rPr>
        <w:t>Communicates concerns in a constructive and non-defensive manner and offers recommendations for resolution</w:t>
      </w:r>
    </w:p>
    <w:p w14:paraId="1A8EDCCE" w14:textId="77777777" w:rsidR="0014085C" w:rsidRPr="00A1207A" w:rsidRDefault="0014085C" w:rsidP="0014085C">
      <w:pPr>
        <w:pStyle w:val="ListParagraph"/>
        <w:numPr>
          <w:ilvl w:val="0"/>
          <w:numId w:val="11"/>
        </w:numPr>
        <w:spacing w:after="0" w:line="240" w:lineRule="auto"/>
        <w:rPr>
          <w:rFonts w:eastAsia="Times New Roman" w:cs="Arial"/>
        </w:rPr>
      </w:pPr>
      <w:r w:rsidRPr="00A1207A">
        <w:rPr>
          <w:rFonts w:eastAsia="Times New Roman" w:cs="Arial"/>
        </w:rPr>
        <w:t>Identifies opportunities for improvement of technology transfer functions and office operations, offers suggestions for achieving the improvements, and leads efforts to achieve the improvements as appropriate</w:t>
      </w:r>
    </w:p>
    <w:p w14:paraId="75B99204" w14:textId="77777777" w:rsidR="0014085C" w:rsidRPr="00A1207A" w:rsidRDefault="0014085C" w:rsidP="0014085C">
      <w:pPr>
        <w:pStyle w:val="ListParagraph"/>
        <w:numPr>
          <w:ilvl w:val="0"/>
          <w:numId w:val="11"/>
        </w:numPr>
        <w:spacing w:after="0" w:line="240" w:lineRule="auto"/>
        <w:rPr>
          <w:rFonts w:eastAsia="Times New Roman" w:cs="Arial"/>
        </w:rPr>
      </w:pPr>
      <w:r w:rsidRPr="00A1207A">
        <w:rPr>
          <w:rFonts w:eastAsia="Times New Roman" w:cs="Arial"/>
        </w:rPr>
        <w:t>Supports program planning and policy development efforts by suggesting and implementing strategies to attain goals for the technology transfer program.</w:t>
      </w:r>
    </w:p>
    <w:p w14:paraId="6B2392B8" w14:textId="77777777" w:rsidR="0014085C" w:rsidRPr="00A1207A" w:rsidRDefault="0014085C" w:rsidP="0014085C">
      <w:pPr>
        <w:pStyle w:val="ListParagraph"/>
        <w:numPr>
          <w:ilvl w:val="0"/>
          <w:numId w:val="11"/>
        </w:numPr>
        <w:spacing w:after="0" w:line="240" w:lineRule="auto"/>
        <w:rPr>
          <w:rFonts w:eastAsia="Times New Roman" w:cs="Arial"/>
        </w:rPr>
      </w:pPr>
      <w:r w:rsidRPr="00A1207A">
        <w:rPr>
          <w:rFonts w:eastAsia="Times New Roman" w:cs="Arial"/>
        </w:rPr>
        <w:t xml:space="preserve">Evaluates the effectiveness of the office’s operations by initiating and/or developing performance standards and compiling metrics as needed to achieve leadership goals. </w:t>
      </w:r>
    </w:p>
    <w:p w14:paraId="4EC09301" w14:textId="77777777" w:rsidR="0014085C" w:rsidRPr="00A1207A" w:rsidRDefault="0014085C" w:rsidP="0014085C">
      <w:pPr>
        <w:pStyle w:val="ListParagraph"/>
        <w:numPr>
          <w:ilvl w:val="0"/>
          <w:numId w:val="11"/>
        </w:numPr>
        <w:spacing w:after="0" w:line="240" w:lineRule="auto"/>
        <w:rPr>
          <w:rFonts w:eastAsia="Times New Roman" w:cs="Arial"/>
        </w:rPr>
      </w:pPr>
      <w:r w:rsidRPr="00A1207A">
        <w:rPr>
          <w:rFonts w:eastAsia="Times New Roman" w:cs="Arial"/>
        </w:rPr>
        <w:t>Supports the effective management of intellectual property activities by assisting and guiding the administrative staff in the timely updating of documents from the TDC mailbox and the communication of action items to the TDS by the appropriate staff.  This includes developing and overseeing the implementation by administrative staff of Standard Operating Procedures related to intellectual property correspondence and documentation.</w:t>
      </w:r>
    </w:p>
    <w:p w14:paraId="4CD4786F" w14:textId="77777777" w:rsidR="0014085C" w:rsidRPr="00A1207A" w:rsidRDefault="0014085C" w:rsidP="0014085C">
      <w:pPr>
        <w:pStyle w:val="ListParagraph"/>
        <w:numPr>
          <w:ilvl w:val="0"/>
          <w:numId w:val="11"/>
        </w:numPr>
        <w:spacing w:after="0" w:line="240" w:lineRule="auto"/>
        <w:rPr>
          <w:rFonts w:eastAsia="Times New Roman" w:cs="Arial"/>
        </w:rPr>
      </w:pPr>
      <w:r w:rsidRPr="00A1207A">
        <w:rPr>
          <w:rFonts w:eastAsia="Times New Roman" w:cs="Arial"/>
        </w:rPr>
        <w:t xml:space="preserve">Contributes to the modification and maintenance of the Tech Transfer SharePoint site by suggesting enhancements and working with consultants and staff as appropriate.  </w:t>
      </w:r>
    </w:p>
    <w:p w14:paraId="0E1D29D2" w14:textId="77777777" w:rsidR="0014085C" w:rsidRPr="00A1207A" w:rsidRDefault="0014085C" w:rsidP="0014085C">
      <w:pPr>
        <w:pStyle w:val="ListParagraph"/>
        <w:numPr>
          <w:ilvl w:val="0"/>
          <w:numId w:val="11"/>
        </w:numPr>
        <w:spacing w:after="0" w:line="240" w:lineRule="auto"/>
        <w:rPr>
          <w:rFonts w:eastAsia="Times New Roman" w:cs="Arial"/>
        </w:rPr>
      </w:pPr>
      <w:r w:rsidRPr="00A1207A">
        <w:rPr>
          <w:rFonts w:eastAsia="Times New Roman" w:cs="Arial"/>
        </w:rPr>
        <w:t xml:space="preserve">Reviews, modifies and drafts appropriate Standard Operating Procedures as required based upon changes in regulations, policies or staff needs. </w:t>
      </w:r>
    </w:p>
    <w:p w14:paraId="0FDA1B8F" w14:textId="77777777" w:rsidR="0014085C" w:rsidRPr="00A1207A" w:rsidRDefault="0014085C" w:rsidP="0014085C">
      <w:pPr>
        <w:pStyle w:val="ListParagraph"/>
        <w:numPr>
          <w:ilvl w:val="0"/>
          <w:numId w:val="11"/>
        </w:numPr>
        <w:spacing w:after="0" w:line="240" w:lineRule="auto"/>
        <w:rPr>
          <w:rFonts w:eastAsia="Times New Roman" w:cs="Arial"/>
        </w:rPr>
      </w:pPr>
      <w:r w:rsidRPr="00A1207A">
        <w:rPr>
          <w:rFonts w:eastAsia="Times New Roman" w:cs="Arial"/>
        </w:rPr>
        <w:t>Mentors, coaches, or trains junior staff as appropriate.</w:t>
      </w:r>
    </w:p>
    <w:p w14:paraId="3D5FEE41" w14:textId="77777777" w:rsidR="0014085C" w:rsidRPr="00A1207A" w:rsidRDefault="0014085C" w:rsidP="0014085C">
      <w:pPr>
        <w:pStyle w:val="ListParagraph"/>
        <w:numPr>
          <w:ilvl w:val="0"/>
          <w:numId w:val="12"/>
        </w:numPr>
        <w:spacing w:after="0" w:line="240" w:lineRule="auto"/>
        <w:rPr>
          <w:rFonts w:eastAsia="Times New Roman" w:cs="Arial"/>
        </w:rPr>
      </w:pPr>
      <w:r w:rsidRPr="00A1207A">
        <w:rPr>
          <w:rFonts w:eastAsia="Times New Roman" w:cs="Arial"/>
        </w:rPr>
        <w:t>Effectively selects and uses methods of communication, such as verbal or written, and communication tools, such as phone, e-mail or face-to-face meeting, appropriate to the audience and the information to be conveyed or discussed</w:t>
      </w:r>
    </w:p>
    <w:p w14:paraId="2443FB06" w14:textId="77777777" w:rsidR="0014085C" w:rsidRPr="00A1207A" w:rsidRDefault="0014085C" w:rsidP="0014085C">
      <w:pPr>
        <w:pStyle w:val="ListParagraph"/>
        <w:numPr>
          <w:ilvl w:val="0"/>
          <w:numId w:val="12"/>
        </w:numPr>
        <w:spacing w:after="0" w:line="240" w:lineRule="auto"/>
        <w:rPr>
          <w:rFonts w:eastAsia="Times New Roman" w:cs="Arial"/>
        </w:rPr>
      </w:pPr>
      <w:r w:rsidRPr="00A1207A">
        <w:rPr>
          <w:rFonts w:eastAsia="Times New Roman" w:cs="Arial"/>
        </w:rPr>
        <w:t>Provides responses to e-mails, voice mails and other inquiries in a timely manner, and if delays in providing responses are expected, notifies relevant parties appropriately and courteously when delay becomes anticipated</w:t>
      </w:r>
    </w:p>
    <w:p w14:paraId="5F01CCA0" w14:textId="77777777" w:rsidR="0014085C" w:rsidRPr="00A1207A" w:rsidRDefault="0014085C" w:rsidP="0014085C">
      <w:pPr>
        <w:pStyle w:val="ListParagraph"/>
        <w:numPr>
          <w:ilvl w:val="0"/>
          <w:numId w:val="12"/>
        </w:numPr>
        <w:spacing w:after="0" w:line="240" w:lineRule="auto"/>
        <w:rPr>
          <w:rFonts w:eastAsia="Times New Roman" w:cs="Arial"/>
        </w:rPr>
      </w:pPr>
      <w:r w:rsidRPr="00A1207A">
        <w:rPr>
          <w:rFonts w:eastAsia="Times New Roman" w:cs="Arial"/>
        </w:rPr>
        <w:t>Keeps supervisor, colleagues, and subordinates informed of all relevant matters, when and as appropriate</w:t>
      </w:r>
    </w:p>
    <w:p w14:paraId="6313FFD9" w14:textId="77777777" w:rsidR="0014085C" w:rsidRPr="00A1207A" w:rsidRDefault="0014085C" w:rsidP="0014085C">
      <w:pPr>
        <w:rPr>
          <w:rFonts w:cs="Arial"/>
        </w:rPr>
      </w:pPr>
    </w:p>
    <w:p w14:paraId="114B0CFD" w14:textId="77777777" w:rsidR="0014085C" w:rsidRPr="00A1207A" w:rsidRDefault="0014085C" w:rsidP="0014085C">
      <w:pPr>
        <w:pStyle w:val="Heading2"/>
        <w:rPr>
          <w:rFonts w:asciiTheme="minorHAnsi" w:hAnsiTheme="minorHAnsi"/>
          <w:color w:val="auto"/>
          <w:sz w:val="22"/>
          <w:szCs w:val="22"/>
        </w:rPr>
      </w:pPr>
      <w:bookmarkStart w:id="2" w:name="_Toc443386241"/>
      <w:r w:rsidRPr="00A1207A">
        <w:rPr>
          <w:rFonts w:asciiTheme="minorHAnsi" w:hAnsiTheme="minorHAnsi"/>
          <w:color w:val="auto"/>
          <w:sz w:val="22"/>
          <w:szCs w:val="22"/>
          <w:u w:val="single"/>
        </w:rPr>
        <w:t>Critical Element</w:t>
      </w:r>
      <w:r w:rsidRPr="00A1207A">
        <w:rPr>
          <w:rFonts w:asciiTheme="minorHAnsi" w:hAnsiTheme="minorHAnsi"/>
          <w:color w:val="auto"/>
          <w:sz w:val="22"/>
          <w:szCs w:val="22"/>
        </w:rPr>
        <w:t>: Relationship and Partnership Management</w:t>
      </w:r>
      <w:bookmarkEnd w:id="2"/>
    </w:p>
    <w:p w14:paraId="073E01A2" w14:textId="77777777" w:rsidR="0014085C" w:rsidRPr="00A1207A" w:rsidRDefault="0014085C" w:rsidP="0014085C">
      <w:pPr>
        <w:spacing w:after="0" w:line="240" w:lineRule="auto"/>
        <w:rPr>
          <w:rFonts w:eastAsia="Times New Roman" w:cs="Arial"/>
        </w:rPr>
      </w:pPr>
      <w:r w:rsidRPr="00A1207A">
        <w:rPr>
          <w:rFonts w:eastAsia="Times New Roman" w:cs="Arial"/>
        </w:rPr>
        <w:t>Facilitates access by the institute to other organizations’ technology and research materials and develops partnerships with such organizations to further the institute’s mission and programmatic goals as demonstrated by activities that include but are not necessarily limited to the following:</w:t>
      </w:r>
    </w:p>
    <w:p w14:paraId="70D14E68" w14:textId="77777777" w:rsidR="0014085C" w:rsidRPr="00A1207A" w:rsidRDefault="0014085C" w:rsidP="0014085C">
      <w:pPr>
        <w:spacing w:after="0" w:line="240" w:lineRule="auto"/>
        <w:rPr>
          <w:rFonts w:eastAsia="Times New Roman" w:cs="Arial"/>
        </w:rPr>
      </w:pPr>
    </w:p>
    <w:p w14:paraId="28B9F294" w14:textId="77777777" w:rsidR="0014085C" w:rsidRPr="00A1207A" w:rsidRDefault="0014085C" w:rsidP="0014085C">
      <w:pPr>
        <w:pStyle w:val="ListParagraph"/>
        <w:numPr>
          <w:ilvl w:val="0"/>
          <w:numId w:val="10"/>
        </w:numPr>
        <w:spacing w:after="0" w:line="240" w:lineRule="auto"/>
        <w:rPr>
          <w:rFonts w:eastAsia="Times New Roman" w:cs="Arial"/>
        </w:rPr>
      </w:pPr>
      <w:r w:rsidRPr="00A1207A">
        <w:rPr>
          <w:rFonts w:eastAsia="Times New Roman" w:cs="Arial"/>
        </w:rPr>
        <w:t>Ensures the timely development and negotiation of agreements between the IC and industry, academia and other Federal laboratories, which are consistent with relevant laws, regulations, policies and procedures</w:t>
      </w:r>
    </w:p>
    <w:p w14:paraId="009BE8EB" w14:textId="77777777" w:rsidR="0014085C" w:rsidRPr="00A1207A" w:rsidRDefault="0014085C" w:rsidP="0014085C">
      <w:pPr>
        <w:pStyle w:val="ListParagraph"/>
        <w:numPr>
          <w:ilvl w:val="0"/>
          <w:numId w:val="10"/>
        </w:numPr>
        <w:spacing w:after="0" w:line="240" w:lineRule="auto"/>
        <w:rPr>
          <w:rFonts w:eastAsia="Times New Roman" w:cs="Arial"/>
        </w:rPr>
      </w:pPr>
      <w:r w:rsidRPr="00A1207A">
        <w:rPr>
          <w:rFonts w:eastAsia="Times New Roman" w:cs="Arial"/>
        </w:rPr>
        <w:t>Ensures appropriate office and institute review to ensure that all agreements reflect an appropriate technology transfer strategy for Institute projects and advance the IC’s specific programmatic mission and goals</w:t>
      </w:r>
    </w:p>
    <w:p w14:paraId="784327FB" w14:textId="77777777" w:rsidR="0014085C" w:rsidRPr="00A1207A" w:rsidRDefault="0014085C" w:rsidP="0014085C">
      <w:pPr>
        <w:pStyle w:val="ListParagraph"/>
        <w:numPr>
          <w:ilvl w:val="0"/>
          <w:numId w:val="10"/>
        </w:numPr>
        <w:spacing w:after="0" w:line="240" w:lineRule="auto"/>
        <w:rPr>
          <w:rFonts w:eastAsia="Times New Roman" w:cs="Arial"/>
        </w:rPr>
      </w:pPr>
      <w:r w:rsidRPr="00A1207A">
        <w:rPr>
          <w:rFonts w:eastAsia="Times New Roman" w:cs="Arial"/>
        </w:rPr>
        <w:t>Ensures development and negotiation of complex agreements which permit the exchange of data, information and materials and occasionally scientific and technical personnel, the appropriate acceptance of funding by the IC, and the disposition of various parties’ rights to intellectual property</w:t>
      </w:r>
    </w:p>
    <w:p w14:paraId="4361B342" w14:textId="77777777" w:rsidR="0014085C" w:rsidRPr="00A1207A" w:rsidRDefault="0014085C" w:rsidP="0014085C">
      <w:pPr>
        <w:pStyle w:val="ListParagraph"/>
        <w:numPr>
          <w:ilvl w:val="0"/>
          <w:numId w:val="10"/>
        </w:numPr>
        <w:spacing w:after="0" w:line="240" w:lineRule="auto"/>
        <w:rPr>
          <w:rFonts w:eastAsia="Times New Roman" w:cs="Arial"/>
        </w:rPr>
      </w:pPr>
      <w:r w:rsidRPr="00A1207A">
        <w:rPr>
          <w:rFonts w:eastAsia="Times New Roman" w:cs="Arial"/>
        </w:rPr>
        <w:lastRenderedPageBreak/>
        <w:t>Participates  in trans-governmental and trans-NIH activities such as the Federal Laboratory Consortium (FLC) that  provide insight into “best practices” for technology development</w:t>
      </w:r>
    </w:p>
    <w:p w14:paraId="1626BFB9" w14:textId="77777777" w:rsidR="0014085C" w:rsidRPr="00A1207A" w:rsidRDefault="0014085C" w:rsidP="0014085C">
      <w:pPr>
        <w:pStyle w:val="ListParagraph"/>
        <w:numPr>
          <w:ilvl w:val="0"/>
          <w:numId w:val="10"/>
        </w:numPr>
        <w:spacing w:after="0" w:line="240" w:lineRule="auto"/>
        <w:rPr>
          <w:rFonts w:eastAsia="Times New Roman" w:cs="Arial"/>
        </w:rPr>
      </w:pPr>
      <w:r w:rsidRPr="00A1207A">
        <w:rPr>
          <w:rFonts w:eastAsia="Times New Roman" w:cs="Arial"/>
        </w:rPr>
        <w:t>Support Technology Development Specialists in their partnership development activities.  This may include assisting them to identify technology that may benefit from increased marketing efforts, assisting them to identify companies that might be interested in specific technology, drafting advertisements, etc.</w:t>
      </w:r>
    </w:p>
    <w:p w14:paraId="6795E064" w14:textId="77777777" w:rsidR="0014085C" w:rsidRPr="00A1207A" w:rsidRDefault="0014085C" w:rsidP="0014085C">
      <w:pPr>
        <w:pStyle w:val="ListParagraph"/>
        <w:numPr>
          <w:ilvl w:val="0"/>
          <w:numId w:val="10"/>
        </w:numPr>
        <w:spacing w:after="0" w:line="240" w:lineRule="auto"/>
        <w:rPr>
          <w:rFonts w:eastAsia="Times New Roman" w:cs="Arial"/>
        </w:rPr>
      </w:pPr>
      <w:r w:rsidRPr="00A1207A">
        <w:rPr>
          <w:rFonts w:eastAsia="Times New Roman" w:cs="Arial"/>
        </w:rPr>
        <w:t>Meets or Teleconferences with every client at least once per year to review the client's portfolio of agreements, inventions and short-term and long-term research goals.</w:t>
      </w:r>
    </w:p>
    <w:p w14:paraId="7BCE4167" w14:textId="77777777" w:rsidR="0014085C" w:rsidRPr="00A1207A" w:rsidRDefault="0014085C" w:rsidP="0014085C">
      <w:pPr>
        <w:pStyle w:val="ListParagraph"/>
        <w:numPr>
          <w:ilvl w:val="0"/>
          <w:numId w:val="10"/>
        </w:numPr>
        <w:spacing w:after="0" w:line="240" w:lineRule="auto"/>
        <w:rPr>
          <w:rFonts w:eastAsia="Times New Roman" w:cs="Arial"/>
        </w:rPr>
      </w:pPr>
      <w:r w:rsidRPr="00A1207A">
        <w:rPr>
          <w:rFonts w:eastAsia="Times New Roman" w:cs="Arial"/>
        </w:rPr>
        <w:t>Maintains effective professional relationships with OTT LPMs who manage inventions within their assigned portfolio</w:t>
      </w:r>
    </w:p>
    <w:p w14:paraId="32B00DE5" w14:textId="77777777" w:rsidR="0014085C" w:rsidRPr="00A1207A" w:rsidRDefault="0014085C" w:rsidP="0014085C">
      <w:pPr>
        <w:pStyle w:val="ListParagraph"/>
        <w:numPr>
          <w:ilvl w:val="0"/>
          <w:numId w:val="10"/>
        </w:numPr>
        <w:spacing w:after="0" w:line="240" w:lineRule="auto"/>
        <w:rPr>
          <w:rFonts w:eastAsia="Times New Roman" w:cs="Arial"/>
        </w:rPr>
      </w:pPr>
      <w:r w:rsidRPr="00A1207A">
        <w:rPr>
          <w:rFonts w:eastAsia="Times New Roman" w:cs="Arial"/>
        </w:rPr>
        <w:t>Develops network of contacts in industry to promote the commercialization of the Institute’s biomedical innovations and adds all contact information for entries worked on into SOPHIA.</w:t>
      </w:r>
    </w:p>
    <w:p w14:paraId="2711DF3D" w14:textId="77777777" w:rsidR="0014085C" w:rsidRPr="00A1207A" w:rsidRDefault="0014085C" w:rsidP="0014085C">
      <w:pPr>
        <w:pStyle w:val="ListParagraph"/>
        <w:numPr>
          <w:ilvl w:val="0"/>
          <w:numId w:val="10"/>
        </w:numPr>
        <w:spacing w:after="0" w:line="240" w:lineRule="auto"/>
        <w:rPr>
          <w:rFonts w:eastAsia="Times New Roman" w:cs="Arial"/>
        </w:rPr>
      </w:pPr>
      <w:r w:rsidRPr="00A1207A">
        <w:rPr>
          <w:rFonts w:eastAsia="Times New Roman" w:cs="Arial"/>
        </w:rPr>
        <w:t>Maintains effective professional relationships within the IC and NIH.</w:t>
      </w:r>
    </w:p>
    <w:p w14:paraId="73ADE0DA" w14:textId="77777777" w:rsidR="0014085C" w:rsidRPr="00A1207A" w:rsidRDefault="0014085C" w:rsidP="0014085C">
      <w:pPr>
        <w:spacing w:after="0" w:line="240" w:lineRule="auto"/>
        <w:rPr>
          <w:rFonts w:eastAsia="Times New Roman" w:cs="Arial"/>
        </w:rPr>
      </w:pPr>
    </w:p>
    <w:p w14:paraId="70980626" w14:textId="77777777" w:rsidR="0014085C" w:rsidRPr="00A1207A" w:rsidRDefault="0014085C" w:rsidP="0014085C">
      <w:pPr>
        <w:pStyle w:val="Heading2"/>
        <w:rPr>
          <w:rFonts w:asciiTheme="minorHAnsi" w:eastAsia="Times New Roman" w:hAnsiTheme="minorHAnsi"/>
          <w:color w:val="auto"/>
          <w:sz w:val="22"/>
          <w:szCs w:val="22"/>
        </w:rPr>
      </w:pPr>
      <w:bookmarkStart w:id="3" w:name="_Toc443386242"/>
      <w:r w:rsidRPr="00A1207A">
        <w:rPr>
          <w:rFonts w:asciiTheme="minorHAnsi" w:eastAsia="Times New Roman" w:hAnsiTheme="minorHAnsi"/>
          <w:color w:val="auto"/>
          <w:sz w:val="22"/>
          <w:szCs w:val="22"/>
          <w:u w:val="single"/>
        </w:rPr>
        <w:t>Critical Element</w:t>
      </w:r>
      <w:r w:rsidRPr="00A1207A">
        <w:rPr>
          <w:rFonts w:asciiTheme="minorHAnsi" w:eastAsia="Times New Roman" w:hAnsiTheme="minorHAnsi"/>
          <w:color w:val="auto"/>
          <w:sz w:val="22"/>
          <w:szCs w:val="22"/>
        </w:rPr>
        <w:t>: Portfolio Management</w:t>
      </w:r>
      <w:bookmarkEnd w:id="3"/>
    </w:p>
    <w:p w14:paraId="1330E2DB" w14:textId="12639E0E" w:rsidR="0014085C" w:rsidRPr="00A1207A" w:rsidRDefault="0014085C" w:rsidP="0014085C">
      <w:pPr>
        <w:pStyle w:val="ListParagraph"/>
        <w:numPr>
          <w:ilvl w:val="0"/>
          <w:numId w:val="13"/>
        </w:numPr>
        <w:spacing w:after="0" w:line="240" w:lineRule="auto"/>
        <w:rPr>
          <w:rFonts w:eastAsia="Times New Roman" w:cs="Arial"/>
        </w:rPr>
      </w:pPr>
      <w:r w:rsidRPr="00A1207A">
        <w:rPr>
          <w:rFonts w:eastAsia="Times New Roman" w:cs="Arial"/>
        </w:rPr>
        <w:t>Enter</w:t>
      </w:r>
      <w:r w:rsidR="001A5104" w:rsidRPr="00A1207A">
        <w:rPr>
          <w:rFonts w:eastAsia="Times New Roman" w:cs="Arial"/>
        </w:rPr>
        <w:t>s</w:t>
      </w:r>
      <w:r w:rsidRPr="00A1207A">
        <w:rPr>
          <w:rFonts w:eastAsia="Times New Roman" w:cs="Arial"/>
        </w:rPr>
        <w:t xml:space="preserve"> all agreement records into SOPHIA in accordance with established guidelines.</w:t>
      </w:r>
    </w:p>
    <w:p w14:paraId="557BB98F" w14:textId="12B33663" w:rsidR="0014085C" w:rsidRPr="00A1207A" w:rsidRDefault="0014085C" w:rsidP="0014085C">
      <w:pPr>
        <w:pStyle w:val="ListParagraph"/>
        <w:numPr>
          <w:ilvl w:val="0"/>
          <w:numId w:val="13"/>
        </w:numPr>
        <w:spacing w:after="0" w:line="240" w:lineRule="auto"/>
        <w:rPr>
          <w:rFonts w:eastAsia="Times New Roman" w:cs="Arial"/>
        </w:rPr>
      </w:pPr>
      <w:r w:rsidRPr="00A1207A">
        <w:rPr>
          <w:rFonts w:eastAsia="Times New Roman" w:cs="Arial"/>
        </w:rPr>
        <w:t>Maintain</w:t>
      </w:r>
      <w:r w:rsidR="001A5104" w:rsidRPr="00A1207A">
        <w:rPr>
          <w:rFonts w:eastAsia="Times New Roman" w:cs="Arial"/>
        </w:rPr>
        <w:t>s</w:t>
      </w:r>
      <w:r w:rsidRPr="00A1207A">
        <w:rPr>
          <w:rFonts w:eastAsia="Times New Roman" w:cs="Arial"/>
        </w:rPr>
        <w:t xml:space="preserve"> agreement portfolio in SOPHIA in accordance with established guidelines.</w:t>
      </w:r>
    </w:p>
    <w:p w14:paraId="068A802A" w14:textId="003A2965" w:rsidR="0014085C" w:rsidRPr="00A1207A" w:rsidRDefault="0014085C" w:rsidP="0014085C">
      <w:pPr>
        <w:pStyle w:val="ListParagraph"/>
        <w:numPr>
          <w:ilvl w:val="0"/>
          <w:numId w:val="13"/>
        </w:numPr>
        <w:spacing w:after="0" w:line="240" w:lineRule="auto"/>
        <w:rPr>
          <w:rFonts w:eastAsia="Times New Roman" w:cs="Arial"/>
        </w:rPr>
      </w:pPr>
      <w:r w:rsidRPr="00A1207A">
        <w:rPr>
          <w:rFonts w:eastAsia="Times New Roman" w:cs="Arial"/>
        </w:rPr>
        <w:t>Provide</w:t>
      </w:r>
      <w:r w:rsidR="001A5104" w:rsidRPr="00A1207A">
        <w:rPr>
          <w:rFonts w:eastAsia="Times New Roman" w:cs="Arial"/>
        </w:rPr>
        <w:t>s</w:t>
      </w:r>
      <w:r w:rsidRPr="00A1207A">
        <w:rPr>
          <w:rFonts w:eastAsia="Times New Roman" w:cs="Arial"/>
        </w:rPr>
        <w:t xml:space="preserve"> an annual report of active agreements during the calendar year as agreed upon with the Branch Chief.</w:t>
      </w:r>
    </w:p>
    <w:p w14:paraId="0A637D3D" w14:textId="5252A85C" w:rsidR="0014085C" w:rsidRPr="00A1207A" w:rsidRDefault="0014085C" w:rsidP="0014085C">
      <w:pPr>
        <w:pStyle w:val="ListParagraph"/>
        <w:numPr>
          <w:ilvl w:val="0"/>
          <w:numId w:val="13"/>
        </w:numPr>
        <w:spacing w:after="0" w:line="240" w:lineRule="auto"/>
        <w:rPr>
          <w:rFonts w:eastAsia="Times New Roman" w:cs="Arial"/>
        </w:rPr>
      </w:pPr>
      <w:r w:rsidRPr="00A1207A">
        <w:rPr>
          <w:rFonts w:eastAsia="Times New Roman" w:cs="Arial"/>
        </w:rPr>
        <w:t>Present</w:t>
      </w:r>
      <w:r w:rsidR="001A5104" w:rsidRPr="00A1207A">
        <w:rPr>
          <w:rFonts w:eastAsia="Times New Roman" w:cs="Arial"/>
        </w:rPr>
        <w:t>s</w:t>
      </w:r>
      <w:r w:rsidRPr="00A1207A">
        <w:rPr>
          <w:rFonts w:eastAsia="Times New Roman" w:cs="Arial"/>
        </w:rPr>
        <w:t xml:space="preserve"> at least one major agreement (MCRADA, CRADA, RCA, CTA or GIFT) at a group meeting.</w:t>
      </w:r>
    </w:p>
    <w:p w14:paraId="25C8468F" w14:textId="4811B2C1" w:rsidR="0014085C" w:rsidRPr="00A1207A" w:rsidRDefault="0014085C" w:rsidP="0014085C">
      <w:pPr>
        <w:pStyle w:val="ListParagraph"/>
        <w:numPr>
          <w:ilvl w:val="0"/>
          <w:numId w:val="13"/>
        </w:numPr>
        <w:spacing w:after="0" w:line="240" w:lineRule="auto"/>
        <w:rPr>
          <w:rFonts w:eastAsia="Times New Roman" w:cs="Arial"/>
        </w:rPr>
      </w:pPr>
      <w:r w:rsidRPr="00A1207A">
        <w:rPr>
          <w:rFonts w:eastAsia="Times New Roman" w:cs="Arial"/>
        </w:rPr>
        <w:t>Deliver</w:t>
      </w:r>
      <w:r w:rsidR="001A5104" w:rsidRPr="00A1207A">
        <w:rPr>
          <w:rFonts w:eastAsia="Times New Roman" w:cs="Arial"/>
        </w:rPr>
        <w:t>s</w:t>
      </w:r>
      <w:r w:rsidRPr="00A1207A">
        <w:rPr>
          <w:rFonts w:eastAsia="Times New Roman" w:cs="Arial"/>
        </w:rPr>
        <w:t xml:space="preserve"> agreement-related work products appropriate for grade level and in a timely manner.</w:t>
      </w:r>
    </w:p>
    <w:p w14:paraId="0F4794AC" w14:textId="6A037C77" w:rsidR="0014085C" w:rsidRPr="00A1207A" w:rsidRDefault="0014085C" w:rsidP="0014085C">
      <w:pPr>
        <w:pStyle w:val="ListParagraph"/>
        <w:numPr>
          <w:ilvl w:val="0"/>
          <w:numId w:val="13"/>
        </w:numPr>
        <w:spacing w:after="0" w:line="240" w:lineRule="auto"/>
        <w:rPr>
          <w:rFonts w:eastAsia="Times New Roman" w:cs="Arial"/>
        </w:rPr>
      </w:pPr>
      <w:r w:rsidRPr="00A1207A">
        <w:rPr>
          <w:rFonts w:eastAsia="Times New Roman" w:cs="Arial"/>
        </w:rPr>
        <w:t>Enter</w:t>
      </w:r>
      <w:r w:rsidR="001A5104" w:rsidRPr="00A1207A">
        <w:rPr>
          <w:rFonts w:eastAsia="Times New Roman" w:cs="Arial"/>
        </w:rPr>
        <w:t>s</w:t>
      </w:r>
      <w:r w:rsidRPr="00A1207A">
        <w:rPr>
          <w:rFonts w:eastAsia="Times New Roman" w:cs="Arial"/>
        </w:rPr>
        <w:t xml:space="preserve"> all invention records into SOPHIA in accordance with established guidelines.</w:t>
      </w:r>
    </w:p>
    <w:p w14:paraId="481F5137" w14:textId="22CABFB8" w:rsidR="0014085C" w:rsidRPr="00A1207A" w:rsidRDefault="0014085C" w:rsidP="0014085C">
      <w:pPr>
        <w:pStyle w:val="ListParagraph"/>
        <w:numPr>
          <w:ilvl w:val="0"/>
          <w:numId w:val="13"/>
        </w:numPr>
        <w:spacing w:after="0" w:line="240" w:lineRule="auto"/>
        <w:rPr>
          <w:rFonts w:eastAsia="Times New Roman" w:cs="Arial"/>
        </w:rPr>
      </w:pPr>
      <w:r w:rsidRPr="00A1207A">
        <w:rPr>
          <w:rFonts w:eastAsia="Times New Roman" w:cs="Arial"/>
        </w:rPr>
        <w:t>Maintain</w:t>
      </w:r>
      <w:r w:rsidR="001A5104" w:rsidRPr="00A1207A">
        <w:rPr>
          <w:rFonts w:eastAsia="Times New Roman" w:cs="Arial"/>
        </w:rPr>
        <w:t>s</w:t>
      </w:r>
      <w:r w:rsidRPr="00A1207A">
        <w:rPr>
          <w:rFonts w:eastAsia="Times New Roman" w:cs="Arial"/>
        </w:rPr>
        <w:t xml:space="preserve"> inventions portfolio in accordance with established guidelines.</w:t>
      </w:r>
    </w:p>
    <w:p w14:paraId="747B96CD" w14:textId="2C9F0721" w:rsidR="0014085C" w:rsidRPr="00A1207A" w:rsidRDefault="0014085C" w:rsidP="0014085C">
      <w:pPr>
        <w:pStyle w:val="ListParagraph"/>
        <w:numPr>
          <w:ilvl w:val="0"/>
          <w:numId w:val="13"/>
        </w:numPr>
        <w:spacing w:after="0" w:line="240" w:lineRule="auto"/>
        <w:rPr>
          <w:rFonts w:eastAsia="Times New Roman" w:cs="Arial"/>
        </w:rPr>
      </w:pPr>
      <w:r w:rsidRPr="00A1207A">
        <w:rPr>
          <w:rFonts w:eastAsia="Times New Roman" w:cs="Arial"/>
        </w:rPr>
        <w:t>Provide</w:t>
      </w:r>
      <w:r w:rsidR="00D60BF3" w:rsidRPr="00A1207A">
        <w:rPr>
          <w:rFonts w:eastAsia="Times New Roman" w:cs="Arial"/>
        </w:rPr>
        <w:t>s</w:t>
      </w:r>
      <w:r w:rsidRPr="00A1207A">
        <w:rPr>
          <w:rFonts w:eastAsia="Times New Roman" w:cs="Arial"/>
        </w:rPr>
        <w:t xml:space="preserve"> an annual inventions portfolio report as agreed upon with the Branch Chief.</w:t>
      </w:r>
    </w:p>
    <w:p w14:paraId="44551EEC" w14:textId="6BE14C56" w:rsidR="0014085C" w:rsidRPr="00A1207A" w:rsidRDefault="0014085C" w:rsidP="0014085C">
      <w:pPr>
        <w:pStyle w:val="ListParagraph"/>
        <w:numPr>
          <w:ilvl w:val="0"/>
          <w:numId w:val="13"/>
        </w:numPr>
        <w:spacing w:after="0" w:line="240" w:lineRule="auto"/>
        <w:rPr>
          <w:rFonts w:eastAsia="Times New Roman" w:cs="Arial"/>
        </w:rPr>
      </w:pPr>
      <w:r w:rsidRPr="00A1207A">
        <w:rPr>
          <w:rFonts w:eastAsia="Times New Roman" w:cs="Arial"/>
        </w:rPr>
        <w:t>Track</w:t>
      </w:r>
      <w:r w:rsidR="00D60BF3" w:rsidRPr="00A1207A">
        <w:rPr>
          <w:rFonts w:eastAsia="Times New Roman" w:cs="Arial"/>
        </w:rPr>
        <w:t>s</w:t>
      </w:r>
      <w:r w:rsidRPr="00A1207A">
        <w:rPr>
          <w:rFonts w:eastAsia="Times New Roman" w:cs="Arial"/>
        </w:rPr>
        <w:t xml:space="preserve"> prosecution of active patent applications to help ensure acquisition of IP consistent with the Institute mission.</w:t>
      </w:r>
    </w:p>
    <w:p w14:paraId="109025AB" w14:textId="3D3A66CB" w:rsidR="0014085C" w:rsidRPr="00A1207A" w:rsidRDefault="0014085C" w:rsidP="0014085C">
      <w:pPr>
        <w:pStyle w:val="ListParagraph"/>
        <w:numPr>
          <w:ilvl w:val="0"/>
          <w:numId w:val="13"/>
        </w:numPr>
        <w:spacing w:after="0" w:line="240" w:lineRule="auto"/>
        <w:rPr>
          <w:rFonts w:eastAsia="Times New Roman" w:cs="Arial"/>
        </w:rPr>
      </w:pPr>
      <w:r w:rsidRPr="00A1207A">
        <w:rPr>
          <w:rFonts w:eastAsia="Times New Roman" w:cs="Arial"/>
        </w:rPr>
        <w:t>Cull</w:t>
      </w:r>
      <w:r w:rsidR="00D60BF3" w:rsidRPr="00A1207A">
        <w:rPr>
          <w:rFonts w:eastAsia="Times New Roman" w:cs="Arial"/>
        </w:rPr>
        <w:t>s</w:t>
      </w:r>
      <w:r w:rsidRPr="00A1207A">
        <w:rPr>
          <w:rFonts w:eastAsia="Times New Roman" w:cs="Arial"/>
        </w:rPr>
        <w:t xml:space="preserve"> patent applications and patents that are not commercially viable.</w:t>
      </w:r>
    </w:p>
    <w:p w14:paraId="0501D41C" w14:textId="048654CA" w:rsidR="0014085C" w:rsidRPr="00A1207A" w:rsidRDefault="0014085C" w:rsidP="0014085C">
      <w:pPr>
        <w:pStyle w:val="ListParagraph"/>
        <w:numPr>
          <w:ilvl w:val="0"/>
          <w:numId w:val="13"/>
        </w:numPr>
        <w:spacing w:after="0" w:line="240" w:lineRule="auto"/>
        <w:rPr>
          <w:rFonts w:eastAsia="Times New Roman" w:cs="Arial"/>
        </w:rPr>
      </w:pPr>
      <w:r w:rsidRPr="00A1207A">
        <w:rPr>
          <w:rFonts w:eastAsia="Times New Roman" w:cs="Arial"/>
        </w:rPr>
        <w:t>Deliver</w:t>
      </w:r>
      <w:r w:rsidR="00D60BF3" w:rsidRPr="00A1207A">
        <w:rPr>
          <w:rFonts w:eastAsia="Times New Roman" w:cs="Arial"/>
        </w:rPr>
        <w:t>s</w:t>
      </w:r>
      <w:r w:rsidRPr="00A1207A">
        <w:rPr>
          <w:rFonts w:eastAsia="Times New Roman" w:cs="Arial"/>
        </w:rPr>
        <w:t xml:space="preserve"> inventions work product appropriate for grade level and in a timely manner.</w:t>
      </w:r>
    </w:p>
    <w:p w14:paraId="3232F87C" w14:textId="77777777" w:rsidR="0014085C" w:rsidRPr="00A1207A" w:rsidRDefault="0014085C" w:rsidP="0014085C">
      <w:pPr>
        <w:spacing w:after="0" w:line="240" w:lineRule="auto"/>
        <w:rPr>
          <w:rFonts w:eastAsia="Times New Roman" w:cs="Arial"/>
        </w:rPr>
      </w:pPr>
    </w:p>
    <w:p w14:paraId="68737D5E" w14:textId="77777777" w:rsidR="0014085C" w:rsidRPr="00A1207A" w:rsidRDefault="0014085C" w:rsidP="0014085C">
      <w:pPr>
        <w:pStyle w:val="Heading2"/>
        <w:rPr>
          <w:rFonts w:asciiTheme="minorHAnsi" w:eastAsia="Times New Roman" w:hAnsiTheme="minorHAnsi"/>
          <w:color w:val="auto"/>
          <w:sz w:val="22"/>
          <w:szCs w:val="22"/>
        </w:rPr>
      </w:pPr>
      <w:bookmarkStart w:id="4" w:name="_Toc443386243"/>
      <w:r w:rsidRPr="00A1207A">
        <w:rPr>
          <w:rFonts w:asciiTheme="minorHAnsi" w:eastAsia="Times New Roman" w:hAnsiTheme="minorHAnsi"/>
          <w:color w:val="auto"/>
          <w:sz w:val="22"/>
          <w:szCs w:val="22"/>
          <w:u w:val="single"/>
        </w:rPr>
        <w:t>Critical Element</w:t>
      </w:r>
      <w:r w:rsidRPr="00A1207A">
        <w:rPr>
          <w:rFonts w:asciiTheme="minorHAnsi" w:eastAsia="Times New Roman" w:hAnsiTheme="minorHAnsi"/>
          <w:color w:val="auto"/>
          <w:sz w:val="22"/>
          <w:szCs w:val="22"/>
        </w:rPr>
        <w:t>: Promotes Commercialization of Biomedical Inventions</w:t>
      </w:r>
      <w:bookmarkEnd w:id="4"/>
    </w:p>
    <w:p w14:paraId="319D7490" w14:textId="77777777" w:rsidR="0014085C" w:rsidRPr="00A1207A" w:rsidRDefault="0014085C" w:rsidP="0014085C">
      <w:pPr>
        <w:spacing w:after="0" w:line="240" w:lineRule="auto"/>
        <w:rPr>
          <w:rFonts w:eastAsia="Times New Roman" w:cs="Arial"/>
        </w:rPr>
      </w:pPr>
      <w:r w:rsidRPr="00A1207A">
        <w:rPr>
          <w:rFonts w:eastAsia="Times New Roman" w:cs="Arial"/>
        </w:rPr>
        <w:t>Success of this element will be based on the amount of effort of the activities that the specialist undertakes to promote Institute technology, not on the quality of the science.</w:t>
      </w:r>
    </w:p>
    <w:p w14:paraId="008D83FF" w14:textId="77777777" w:rsidR="0014085C" w:rsidRPr="00A1207A" w:rsidRDefault="0014085C" w:rsidP="0014085C">
      <w:pPr>
        <w:spacing w:after="0" w:line="240" w:lineRule="auto"/>
        <w:rPr>
          <w:rFonts w:eastAsia="Times New Roman" w:cs="Arial"/>
        </w:rPr>
      </w:pPr>
    </w:p>
    <w:p w14:paraId="500D6C48" w14:textId="306F7119" w:rsidR="0014085C" w:rsidRPr="00A1207A" w:rsidRDefault="0014085C" w:rsidP="0014085C">
      <w:pPr>
        <w:pStyle w:val="ListParagraph"/>
        <w:numPr>
          <w:ilvl w:val="0"/>
          <w:numId w:val="14"/>
        </w:numPr>
        <w:spacing w:after="0" w:line="240" w:lineRule="auto"/>
        <w:rPr>
          <w:rFonts w:eastAsia="Times New Roman" w:cs="Arial"/>
        </w:rPr>
      </w:pPr>
      <w:r w:rsidRPr="00A1207A">
        <w:rPr>
          <w:rFonts w:eastAsia="Times New Roman" w:cs="Arial"/>
        </w:rPr>
        <w:t>For at least two technologies (new EIRs, technology already filed on, services that a lab can provide, etc.), assign</w:t>
      </w:r>
      <w:r w:rsidR="00D60BF3" w:rsidRPr="00A1207A">
        <w:rPr>
          <w:rFonts w:eastAsia="Times New Roman" w:cs="Arial"/>
        </w:rPr>
        <w:t>s</w:t>
      </w:r>
      <w:r w:rsidRPr="00A1207A">
        <w:rPr>
          <w:rFonts w:eastAsia="Times New Roman" w:cs="Arial"/>
        </w:rPr>
        <w:t xml:space="preserve"> a Technology Readiness Level (TRL).</w:t>
      </w:r>
    </w:p>
    <w:p w14:paraId="2DFFEB2A" w14:textId="3E5289E6" w:rsidR="0014085C" w:rsidRPr="00A1207A" w:rsidRDefault="0014085C" w:rsidP="0014085C">
      <w:pPr>
        <w:pStyle w:val="ListParagraph"/>
        <w:numPr>
          <w:ilvl w:val="0"/>
          <w:numId w:val="14"/>
        </w:numPr>
        <w:spacing w:after="0" w:line="240" w:lineRule="auto"/>
        <w:rPr>
          <w:rFonts w:eastAsia="Times New Roman" w:cs="Arial"/>
        </w:rPr>
      </w:pPr>
      <w:r w:rsidRPr="00A1207A">
        <w:rPr>
          <w:rFonts w:eastAsia="Times New Roman" w:cs="Arial"/>
        </w:rPr>
        <w:t>If any new Employee Invention Reports (EIRs) are received during the calendar year, assign</w:t>
      </w:r>
      <w:r w:rsidR="00D60BF3" w:rsidRPr="00A1207A">
        <w:rPr>
          <w:rFonts w:eastAsia="Times New Roman" w:cs="Arial"/>
        </w:rPr>
        <w:t>s</w:t>
      </w:r>
      <w:r w:rsidRPr="00A1207A">
        <w:rPr>
          <w:rFonts w:eastAsia="Times New Roman" w:cs="Arial"/>
        </w:rPr>
        <w:t xml:space="preserve"> a TRL to the newly reported technology.</w:t>
      </w:r>
    </w:p>
    <w:p w14:paraId="4DED6381" w14:textId="156D5C11" w:rsidR="0014085C" w:rsidRPr="00A1207A" w:rsidRDefault="0014085C" w:rsidP="0014085C">
      <w:pPr>
        <w:pStyle w:val="ListParagraph"/>
        <w:numPr>
          <w:ilvl w:val="0"/>
          <w:numId w:val="14"/>
        </w:numPr>
        <w:spacing w:after="0" w:line="240" w:lineRule="auto"/>
        <w:rPr>
          <w:rFonts w:eastAsia="Times New Roman" w:cs="Arial"/>
        </w:rPr>
      </w:pPr>
      <w:r w:rsidRPr="00A1207A">
        <w:rPr>
          <w:rFonts w:eastAsia="Times New Roman" w:cs="Arial"/>
        </w:rPr>
        <w:t>For each technology assigned a TRL level, discuss</w:t>
      </w:r>
      <w:r w:rsidR="00D60BF3" w:rsidRPr="00A1207A">
        <w:rPr>
          <w:rFonts w:eastAsia="Times New Roman" w:cs="Arial"/>
        </w:rPr>
        <w:t>es</w:t>
      </w:r>
      <w:r w:rsidRPr="00A1207A">
        <w:rPr>
          <w:rFonts w:eastAsia="Times New Roman" w:cs="Arial"/>
        </w:rPr>
        <w:t xml:space="preserve"> the technology with the appropriate investigator to determine their needs and level of engagement. Draft</w:t>
      </w:r>
      <w:r w:rsidR="00D60BF3" w:rsidRPr="00A1207A">
        <w:rPr>
          <w:rFonts w:eastAsia="Times New Roman" w:cs="Arial"/>
        </w:rPr>
        <w:t>s</w:t>
      </w:r>
      <w:r w:rsidRPr="00A1207A">
        <w:rPr>
          <w:rFonts w:eastAsia="Times New Roman" w:cs="Arial"/>
        </w:rPr>
        <w:t xml:space="preserve"> a development plan outlining the next step(s) that may be undertaken to move the technology to the next TRL level and the entity expected to undertake the next step (i.e. the NIH investigator, an extramural collaborator, a CRADA collaborator, etc.).</w:t>
      </w:r>
    </w:p>
    <w:p w14:paraId="270F1D03" w14:textId="2199A093" w:rsidR="0014085C" w:rsidRPr="00A1207A" w:rsidRDefault="0014085C" w:rsidP="0014085C">
      <w:pPr>
        <w:pStyle w:val="ListParagraph"/>
        <w:numPr>
          <w:ilvl w:val="0"/>
          <w:numId w:val="14"/>
        </w:numPr>
        <w:spacing w:after="0" w:line="240" w:lineRule="auto"/>
        <w:rPr>
          <w:rFonts w:eastAsia="Times New Roman" w:cs="Arial"/>
        </w:rPr>
      </w:pPr>
      <w:r w:rsidRPr="00A1207A">
        <w:rPr>
          <w:rFonts w:eastAsia="Times New Roman" w:cs="Arial"/>
        </w:rPr>
        <w:t>Undertake</w:t>
      </w:r>
      <w:r w:rsidR="00D60BF3" w:rsidRPr="00A1207A">
        <w:rPr>
          <w:rFonts w:eastAsia="Times New Roman" w:cs="Arial"/>
        </w:rPr>
        <w:t>s</w:t>
      </w:r>
      <w:r w:rsidRPr="00A1207A">
        <w:rPr>
          <w:rFonts w:eastAsia="Times New Roman" w:cs="Arial"/>
        </w:rPr>
        <w:t xml:space="preserve"> activities to promote the advancement of the technology to the next TRL level (e.g., advertise the technology, make contacts with outside parties, make a YouTube video). </w:t>
      </w:r>
      <w:r w:rsidR="00D60BF3" w:rsidRPr="00A1207A">
        <w:rPr>
          <w:rFonts w:eastAsia="Times New Roman" w:cs="Arial"/>
        </w:rPr>
        <w:t xml:space="preserve">Modifies </w:t>
      </w:r>
      <w:r w:rsidRPr="00A1207A">
        <w:rPr>
          <w:rFonts w:eastAsia="Times New Roman" w:cs="Arial"/>
        </w:rPr>
        <w:t>the development plan as needed to accommodate more viable options as they may arise.</w:t>
      </w:r>
    </w:p>
    <w:p w14:paraId="09D8CB11" w14:textId="78CF3719" w:rsidR="0014085C" w:rsidRPr="00A1207A" w:rsidRDefault="0014085C" w:rsidP="0014085C">
      <w:pPr>
        <w:pStyle w:val="ListParagraph"/>
        <w:numPr>
          <w:ilvl w:val="0"/>
          <w:numId w:val="14"/>
        </w:numPr>
        <w:spacing w:after="0" w:line="240" w:lineRule="auto"/>
        <w:rPr>
          <w:rFonts w:eastAsia="Times New Roman" w:cs="Arial"/>
        </w:rPr>
      </w:pPr>
      <w:r w:rsidRPr="00A1207A">
        <w:rPr>
          <w:rFonts w:eastAsia="Times New Roman" w:cs="Arial"/>
        </w:rPr>
        <w:lastRenderedPageBreak/>
        <w:t>Deliver</w:t>
      </w:r>
      <w:r w:rsidR="00D60BF3" w:rsidRPr="00A1207A">
        <w:rPr>
          <w:rFonts w:eastAsia="Times New Roman" w:cs="Arial"/>
        </w:rPr>
        <w:t>s</w:t>
      </w:r>
      <w:r w:rsidRPr="00A1207A">
        <w:rPr>
          <w:rFonts w:eastAsia="Times New Roman" w:cs="Arial"/>
        </w:rPr>
        <w:t xml:space="preserve"> written updates on all product development efforts as agreed upon by the Team Lead or Branch Chief.</w:t>
      </w:r>
    </w:p>
    <w:sectPr w:rsidR="0014085C" w:rsidRPr="00A120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ADDA1" w14:textId="77777777" w:rsidR="00FB4032" w:rsidRDefault="00FB4032" w:rsidP="005A37E9">
      <w:pPr>
        <w:spacing w:after="0" w:line="240" w:lineRule="auto"/>
      </w:pPr>
      <w:r>
        <w:separator/>
      </w:r>
    </w:p>
  </w:endnote>
  <w:endnote w:type="continuationSeparator" w:id="0">
    <w:p w14:paraId="74A4130B" w14:textId="77777777" w:rsidR="00FB4032" w:rsidRDefault="00FB4032" w:rsidP="005A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390287"/>
      <w:docPartObj>
        <w:docPartGallery w:val="Page Numbers (Bottom of Page)"/>
        <w:docPartUnique/>
      </w:docPartObj>
    </w:sdtPr>
    <w:sdtEndPr>
      <w:rPr>
        <w:noProof/>
      </w:rPr>
    </w:sdtEndPr>
    <w:sdtContent>
      <w:p w14:paraId="471A56BD" w14:textId="77777777" w:rsidR="005A37E9" w:rsidRDefault="005A37E9">
        <w:pPr>
          <w:pStyle w:val="Footer"/>
          <w:jc w:val="center"/>
        </w:pPr>
        <w:r>
          <w:fldChar w:fldCharType="begin"/>
        </w:r>
        <w:r>
          <w:instrText xml:space="preserve"> PAGE   \* MERGEFORMAT </w:instrText>
        </w:r>
        <w:r>
          <w:fldChar w:fldCharType="separate"/>
        </w:r>
        <w:r w:rsidR="00BB1621">
          <w:rPr>
            <w:noProof/>
          </w:rPr>
          <w:t>1</w:t>
        </w:r>
        <w:r>
          <w:rPr>
            <w:noProof/>
          </w:rPr>
          <w:fldChar w:fldCharType="end"/>
        </w:r>
      </w:p>
    </w:sdtContent>
  </w:sdt>
  <w:p w14:paraId="587E7271" w14:textId="77777777" w:rsidR="005A37E9" w:rsidRDefault="005A3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7434E" w14:textId="77777777" w:rsidR="00FB4032" w:rsidRDefault="00FB4032" w:rsidP="005A37E9">
      <w:pPr>
        <w:spacing w:after="0" w:line="240" w:lineRule="auto"/>
      </w:pPr>
      <w:r>
        <w:separator/>
      </w:r>
    </w:p>
  </w:footnote>
  <w:footnote w:type="continuationSeparator" w:id="0">
    <w:p w14:paraId="6BDE279A" w14:textId="77777777" w:rsidR="00FB4032" w:rsidRDefault="00FB4032" w:rsidP="005A3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2020"/>
    <w:multiLevelType w:val="hybridMultilevel"/>
    <w:tmpl w:val="3A6C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76228"/>
    <w:multiLevelType w:val="hybridMultilevel"/>
    <w:tmpl w:val="A73C45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C5C43"/>
    <w:multiLevelType w:val="hybridMultilevel"/>
    <w:tmpl w:val="809C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95849"/>
    <w:multiLevelType w:val="hybridMultilevel"/>
    <w:tmpl w:val="9D6E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D6ABD"/>
    <w:multiLevelType w:val="hybridMultilevel"/>
    <w:tmpl w:val="45CC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A2CC0"/>
    <w:multiLevelType w:val="hybridMultilevel"/>
    <w:tmpl w:val="83C6E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44306"/>
    <w:multiLevelType w:val="hybridMultilevel"/>
    <w:tmpl w:val="D236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9F8105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D69C7"/>
    <w:multiLevelType w:val="hybridMultilevel"/>
    <w:tmpl w:val="AFC0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C7557"/>
    <w:multiLevelType w:val="hybridMultilevel"/>
    <w:tmpl w:val="DC08A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B94B82"/>
    <w:multiLevelType w:val="hybridMultilevel"/>
    <w:tmpl w:val="1522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D0149"/>
    <w:multiLevelType w:val="hybridMultilevel"/>
    <w:tmpl w:val="DC38F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FE1"/>
    <w:multiLevelType w:val="hybridMultilevel"/>
    <w:tmpl w:val="640E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674A6"/>
    <w:multiLevelType w:val="hybridMultilevel"/>
    <w:tmpl w:val="D0EC88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F48E7"/>
    <w:multiLevelType w:val="hybridMultilevel"/>
    <w:tmpl w:val="1C38D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D2363D"/>
    <w:multiLevelType w:val="hybridMultilevel"/>
    <w:tmpl w:val="A06C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A05F8"/>
    <w:multiLevelType w:val="hybridMultilevel"/>
    <w:tmpl w:val="C7C8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200CC"/>
    <w:multiLevelType w:val="hybridMultilevel"/>
    <w:tmpl w:val="2E2A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62117"/>
    <w:multiLevelType w:val="hybridMultilevel"/>
    <w:tmpl w:val="39B0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134CB"/>
    <w:multiLevelType w:val="hybridMultilevel"/>
    <w:tmpl w:val="3F10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90161"/>
    <w:multiLevelType w:val="hybridMultilevel"/>
    <w:tmpl w:val="07861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14CFD"/>
    <w:multiLevelType w:val="hybridMultilevel"/>
    <w:tmpl w:val="7102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565D0"/>
    <w:multiLevelType w:val="hybridMultilevel"/>
    <w:tmpl w:val="2E606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0C17BB"/>
    <w:multiLevelType w:val="hybridMultilevel"/>
    <w:tmpl w:val="14A4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D777C"/>
    <w:multiLevelType w:val="hybridMultilevel"/>
    <w:tmpl w:val="6656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C04C4"/>
    <w:multiLevelType w:val="hybridMultilevel"/>
    <w:tmpl w:val="75E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5"/>
  </w:num>
  <w:num w:numId="4">
    <w:abstractNumId w:val="2"/>
  </w:num>
  <w:num w:numId="5">
    <w:abstractNumId w:val="10"/>
  </w:num>
  <w:num w:numId="6">
    <w:abstractNumId w:val="1"/>
  </w:num>
  <w:num w:numId="7">
    <w:abstractNumId w:val="7"/>
  </w:num>
  <w:num w:numId="8">
    <w:abstractNumId w:val="6"/>
  </w:num>
  <w:num w:numId="9">
    <w:abstractNumId w:val="12"/>
  </w:num>
  <w:num w:numId="10">
    <w:abstractNumId w:val="14"/>
  </w:num>
  <w:num w:numId="11">
    <w:abstractNumId w:val="3"/>
  </w:num>
  <w:num w:numId="12">
    <w:abstractNumId w:val="17"/>
  </w:num>
  <w:num w:numId="13">
    <w:abstractNumId w:val="23"/>
  </w:num>
  <w:num w:numId="14">
    <w:abstractNumId w:val="24"/>
  </w:num>
  <w:num w:numId="15">
    <w:abstractNumId w:val="16"/>
  </w:num>
  <w:num w:numId="16">
    <w:abstractNumId w:val="4"/>
  </w:num>
  <w:num w:numId="17">
    <w:abstractNumId w:val="11"/>
  </w:num>
  <w:num w:numId="18">
    <w:abstractNumId w:val="9"/>
  </w:num>
  <w:num w:numId="19">
    <w:abstractNumId w:val="19"/>
  </w:num>
  <w:num w:numId="20">
    <w:abstractNumId w:val="18"/>
  </w:num>
  <w:num w:numId="21">
    <w:abstractNumId w:val="0"/>
  </w:num>
  <w:num w:numId="22">
    <w:abstractNumId w:val="13"/>
  </w:num>
  <w:num w:numId="23">
    <w:abstractNumId w:val="8"/>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3E"/>
    <w:rsid w:val="000D5036"/>
    <w:rsid w:val="0014085C"/>
    <w:rsid w:val="001802D4"/>
    <w:rsid w:val="00195E94"/>
    <w:rsid w:val="001A5104"/>
    <w:rsid w:val="00220570"/>
    <w:rsid w:val="0027640F"/>
    <w:rsid w:val="00321BA9"/>
    <w:rsid w:val="00334310"/>
    <w:rsid w:val="0037673C"/>
    <w:rsid w:val="003A71AB"/>
    <w:rsid w:val="003F5355"/>
    <w:rsid w:val="003F7176"/>
    <w:rsid w:val="003F7A58"/>
    <w:rsid w:val="004348A6"/>
    <w:rsid w:val="00492B7F"/>
    <w:rsid w:val="005A37E9"/>
    <w:rsid w:val="005C0B06"/>
    <w:rsid w:val="005E726D"/>
    <w:rsid w:val="0066002D"/>
    <w:rsid w:val="0076177A"/>
    <w:rsid w:val="007B23DF"/>
    <w:rsid w:val="007F6995"/>
    <w:rsid w:val="0081362B"/>
    <w:rsid w:val="008422FF"/>
    <w:rsid w:val="0086662C"/>
    <w:rsid w:val="008771D6"/>
    <w:rsid w:val="008868EA"/>
    <w:rsid w:val="008F3E39"/>
    <w:rsid w:val="0094716B"/>
    <w:rsid w:val="0098005A"/>
    <w:rsid w:val="00984D6A"/>
    <w:rsid w:val="009A0B62"/>
    <w:rsid w:val="009B244B"/>
    <w:rsid w:val="009F44A8"/>
    <w:rsid w:val="00A1207A"/>
    <w:rsid w:val="00B17FBF"/>
    <w:rsid w:val="00B44A41"/>
    <w:rsid w:val="00B54279"/>
    <w:rsid w:val="00B64C56"/>
    <w:rsid w:val="00B80B5A"/>
    <w:rsid w:val="00B97575"/>
    <w:rsid w:val="00BB1621"/>
    <w:rsid w:val="00C42B58"/>
    <w:rsid w:val="00C54C7B"/>
    <w:rsid w:val="00D1012D"/>
    <w:rsid w:val="00D2351F"/>
    <w:rsid w:val="00D60BF3"/>
    <w:rsid w:val="00DB1C8B"/>
    <w:rsid w:val="00DB2B89"/>
    <w:rsid w:val="00E0443E"/>
    <w:rsid w:val="00E354F6"/>
    <w:rsid w:val="00E62539"/>
    <w:rsid w:val="00E9223E"/>
    <w:rsid w:val="00F226BF"/>
    <w:rsid w:val="00F9015E"/>
    <w:rsid w:val="00FB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DEFD"/>
  <w15:chartTrackingRefBased/>
  <w15:docId w15:val="{3D7D9A5C-4770-4621-9D40-C31A05BB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3E"/>
  </w:style>
  <w:style w:type="paragraph" w:styleId="Heading1">
    <w:name w:val="heading 1"/>
    <w:basedOn w:val="Normal"/>
    <w:next w:val="Normal"/>
    <w:link w:val="Heading1Char"/>
    <w:uiPriority w:val="9"/>
    <w:qFormat/>
    <w:rsid w:val="001408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08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54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E0443E"/>
    <w:pPr>
      <w:spacing w:after="100"/>
      <w:ind w:left="220"/>
    </w:pPr>
    <w:rPr>
      <w:rFonts w:eastAsiaTheme="minorEastAsia" w:cs="Times New Roman"/>
    </w:rPr>
  </w:style>
  <w:style w:type="paragraph" w:styleId="TOC1">
    <w:name w:val="toc 1"/>
    <w:basedOn w:val="Normal"/>
    <w:next w:val="Normal"/>
    <w:autoRedefine/>
    <w:uiPriority w:val="39"/>
    <w:unhideWhenUsed/>
    <w:rsid w:val="00E0443E"/>
    <w:pPr>
      <w:spacing w:after="100"/>
    </w:pPr>
    <w:rPr>
      <w:rFonts w:eastAsiaTheme="minorEastAsia" w:cs="Times New Roman"/>
    </w:rPr>
  </w:style>
  <w:style w:type="character" w:styleId="Hyperlink">
    <w:name w:val="Hyperlink"/>
    <w:basedOn w:val="DefaultParagraphFont"/>
    <w:uiPriority w:val="99"/>
    <w:unhideWhenUsed/>
    <w:rsid w:val="00E0443E"/>
    <w:rPr>
      <w:color w:val="0563C1" w:themeColor="hyperlink"/>
      <w:u w:val="single"/>
    </w:rPr>
  </w:style>
  <w:style w:type="character" w:customStyle="1" w:styleId="Heading1Char">
    <w:name w:val="Heading 1 Char"/>
    <w:basedOn w:val="DefaultParagraphFont"/>
    <w:link w:val="Heading1"/>
    <w:uiPriority w:val="9"/>
    <w:rsid w:val="001408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085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4085C"/>
    <w:pPr>
      <w:ind w:left="720"/>
      <w:contextualSpacing/>
    </w:pPr>
  </w:style>
  <w:style w:type="paragraph" w:styleId="Header">
    <w:name w:val="header"/>
    <w:basedOn w:val="Normal"/>
    <w:link w:val="HeaderChar"/>
    <w:uiPriority w:val="99"/>
    <w:unhideWhenUsed/>
    <w:rsid w:val="005A3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7E9"/>
  </w:style>
  <w:style w:type="paragraph" w:styleId="Footer">
    <w:name w:val="footer"/>
    <w:basedOn w:val="Normal"/>
    <w:link w:val="FooterChar"/>
    <w:uiPriority w:val="99"/>
    <w:unhideWhenUsed/>
    <w:rsid w:val="005A3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7E9"/>
  </w:style>
  <w:style w:type="character" w:styleId="FollowedHyperlink">
    <w:name w:val="FollowedHyperlink"/>
    <w:basedOn w:val="DefaultParagraphFont"/>
    <w:uiPriority w:val="99"/>
    <w:semiHidden/>
    <w:unhideWhenUsed/>
    <w:rsid w:val="003A71AB"/>
    <w:rPr>
      <w:color w:val="954F72" w:themeColor="followedHyperlink"/>
      <w:u w:val="single"/>
    </w:rPr>
  </w:style>
  <w:style w:type="character" w:customStyle="1" w:styleId="Heading3Char">
    <w:name w:val="Heading 3 Char"/>
    <w:basedOn w:val="DefaultParagraphFont"/>
    <w:link w:val="Heading3"/>
    <w:uiPriority w:val="9"/>
    <w:rsid w:val="00E354F6"/>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492B7F"/>
    <w:pPr>
      <w:outlineLvl w:val="9"/>
    </w:pPr>
  </w:style>
  <w:style w:type="paragraph" w:styleId="TOC3">
    <w:name w:val="toc 3"/>
    <w:basedOn w:val="Normal"/>
    <w:next w:val="Normal"/>
    <w:autoRedefine/>
    <w:uiPriority w:val="39"/>
    <w:unhideWhenUsed/>
    <w:rsid w:val="00E62539"/>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4348A6"/>
    <w:rPr>
      <w:sz w:val="16"/>
      <w:szCs w:val="16"/>
    </w:rPr>
  </w:style>
  <w:style w:type="paragraph" w:styleId="CommentText">
    <w:name w:val="annotation text"/>
    <w:basedOn w:val="Normal"/>
    <w:link w:val="CommentTextChar"/>
    <w:uiPriority w:val="99"/>
    <w:semiHidden/>
    <w:unhideWhenUsed/>
    <w:rsid w:val="004348A6"/>
    <w:pPr>
      <w:spacing w:line="240" w:lineRule="auto"/>
    </w:pPr>
    <w:rPr>
      <w:sz w:val="20"/>
      <w:szCs w:val="20"/>
    </w:rPr>
  </w:style>
  <w:style w:type="character" w:customStyle="1" w:styleId="CommentTextChar">
    <w:name w:val="Comment Text Char"/>
    <w:basedOn w:val="DefaultParagraphFont"/>
    <w:link w:val="CommentText"/>
    <w:uiPriority w:val="99"/>
    <w:semiHidden/>
    <w:rsid w:val="004348A6"/>
    <w:rPr>
      <w:sz w:val="20"/>
      <w:szCs w:val="20"/>
    </w:rPr>
  </w:style>
  <w:style w:type="paragraph" w:styleId="CommentSubject">
    <w:name w:val="annotation subject"/>
    <w:basedOn w:val="CommentText"/>
    <w:next w:val="CommentText"/>
    <w:link w:val="CommentSubjectChar"/>
    <w:uiPriority w:val="99"/>
    <w:semiHidden/>
    <w:unhideWhenUsed/>
    <w:rsid w:val="004348A6"/>
    <w:rPr>
      <w:b/>
      <w:bCs/>
    </w:rPr>
  </w:style>
  <w:style w:type="character" w:customStyle="1" w:styleId="CommentSubjectChar">
    <w:name w:val="Comment Subject Char"/>
    <w:basedOn w:val="CommentTextChar"/>
    <w:link w:val="CommentSubject"/>
    <w:uiPriority w:val="99"/>
    <w:semiHidden/>
    <w:rsid w:val="004348A6"/>
    <w:rPr>
      <w:b/>
      <w:bCs/>
      <w:sz w:val="20"/>
      <w:szCs w:val="20"/>
    </w:rPr>
  </w:style>
  <w:style w:type="paragraph" w:styleId="BalloonText">
    <w:name w:val="Balloon Text"/>
    <w:basedOn w:val="Normal"/>
    <w:link w:val="BalloonTextChar"/>
    <w:uiPriority w:val="99"/>
    <w:semiHidden/>
    <w:unhideWhenUsed/>
    <w:rsid w:val="00434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8A6"/>
    <w:rPr>
      <w:rFonts w:ascii="Segoe UI" w:hAnsi="Segoe UI" w:cs="Segoe UI"/>
      <w:sz w:val="18"/>
      <w:szCs w:val="18"/>
    </w:rPr>
  </w:style>
  <w:style w:type="paragraph" w:styleId="Revision">
    <w:name w:val="Revision"/>
    <w:hidden/>
    <w:uiPriority w:val="99"/>
    <w:semiHidden/>
    <w:rsid w:val="009B2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D389-3FE7-40F0-A33F-6FCFED9A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Michael (NIH/NIAID) [E]</dc:creator>
  <cp:keywords/>
  <dc:description/>
  <cp:lastModifiedBy>Walton, Tina (NIH/OD) [E]</cp:lastModifiedBy>
  <cp:revision>2</cp:revision>
  <cp:lastPrinted>2016-11-29T16:06:00Z</cp:lastPrinted>
  <dcterms:created xsi:type="dcterms:W3CDTF">2016-12-02T13:08:00Z</dcterms:created>
  <dcterms:modified xsi:type="dcterms:W3CDTF">2016-12-02T13:08:00Z</dcterms:modified>
</cp:coreProperties>
</file>